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8E" w:rsidRDefault="006F5B8E" w:rsidP="006F5B8E">
      <w:pPr>
        <w:pStyle w:val="ConsPlusNormal"/>
        <w:widowControl/>
        <w:tabs>
          <w:tab w:val="left" w:pos="256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>РОССИЙСКАЯ ФЕДЕРАЦИЯ</w:t>
      </w: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 xml:space="preserve">ПРИМОРСКИЙ КРАЙ </w:t>
      </w: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eastAsia="ru-RU" w:bidi="ar-SA"/>
        </w:rPr>
        <w:t>МУНИЦИПАЛЬНЫЙ КОМИТЕТ</w:t>
      </w: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ГОРНОКЛЮЧЕВСКОГО ГОРОДСКОГО ПОСЕЛЕНИЯ</w:t>
      </w: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>(</w:t>
      </w:r>
      <w:r w:rsidRPr="006F5B8E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val="en-US" w:eastAsia="ru-RU" w:bidi="ar-SA"/>
        </w:rPr>
        <w:t>IV</w:t>
      </w:r>
      <w:r w:rsidRPr="006F5B8E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 xml:space="preserve"> СОЗЫВ)</w:t>
      </w: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  <w:t>РЕШЕНИЕ</w:t>
      </w: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ru-RU" w:bidi="ar-SA"/>
        </w:rPr>
      </w:pPr>
    </w:p>
    <w:p w:rsidR="006F5B8E" w:rsidRPr="006F5B8E" w:rsidRDefault="006F5B8E" w:rsidP="006F5B8E">
      <w:pPr>
        <w:widowControl/>
        <w:shd w:val="clear" w:color="auto" w:fill="FFFFFF"/>
        <w:suppressAutoHyphens w:val="0"/>
        <w:contextualSpacing/>
        <w:jc w:val="center"/>
        <w:textAlignment w:val="auto"/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</w:pPr>
      <w:r w:rsidRPr="006F5B8E"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кп. Горные Ключи</w:t>
      </w:r>
    </w:p>
    <w:p w:rsidR="006F5B8E" w:rsidRPr="00C84543" w:rsidRDefault="006F5B8E" w:rsidP="006F5B8E">
      <w:pPr>
        <w:widowControl/>
        <w:shd w:val="clear" w:color="auto" w:fill="FFFFFF"/>
        <w:suppressAutoHyphens w:val="0"/>
        <w:ind w:right="283"/>
        <w:textAlignment w:val="auto"/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</w:pPr>
      <w:r w:rsidRPr="006F5B8E">
        <w:rPr>
          <w:rFonts w:ascii="Times New Roman" w:eastAsia="Times New Roman" w:hAnsi="Times New Roman" w:cs="Times New Roman"/>
          <w:b/>
          <w:bCs/>
          <w:spacing w:val="8"/>
          <w:kern w:val="0"/>
          <w:sz w:val="28"/>
          <w:szCs w:val="28"/>
          <w:lang w:eastAsia="ru-RU" w:bidi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8"/>
          <w:kern w:val="0"/>
          <w:sz w:val="28"/>
          <w:szCs w:val="28"/>
          <w:lang w:eastAsia="ru-RU" w:bidi="ar-SA"/>
        </w:rPr>
        <w:t>26</w:t>
      </w:r>
      <w:r w:rsidRPr="006F5B8E">
        <w:rPr>
          <w:rFonts w:ascii="Times New Roman" w:eastAsia="Times New Roman" w:hAnsi="Times New Roman" w:cs="Times New Roman"/>
          <w:b/>
          <w:bCs/>
          <w:spacing w:val="8"/>
          <w:kern w:val="0"/>
          <w:sz w:val="28"/>
          <w:szCs w:val="28"/>
          <w:lang w:eastAsia="ru-RU" w:bidi="ar-SA"/>
        </w:rPr>
        <w:t>» а</w:t>
      </w:r>
      <w:r>
        <w:rPr>
          <w:rFonts w:ascii="Times New Roman" w:eastAsia="Times New Roman" w:hAnsi="Times New Roman" w:cs="Times New Roman"/>
          <w:b/>
          <w:bCs/>
          <w:spacing w:val="8"/>
          <w:kern w:val="0"/>
          <w:sz w:val="28"/>
          <w:szCs w:val="28"/>
          <w:lang w:eastAsia="ru-RU" w:bidi="ar-SA"/>
        </w:rPr>
        <w:t>вгуста</w:t>
      </w:r>
      <w:r w:rsidRPr="006F5B8E">
        <w:rPr>
          <w:rFonts w:ascii="Times New Roman" w:eastAsia="Times New Roman" w:hAnsi="Times New Roman" w:cs="Times New Roman"/>
          <w:b/>
          <w:bCs/>
          <w:spacing w:val="8"/>
          <w:kern w:val="0"/>
          <w:sz w:val="28"/>
          <w:szCs w:val="28"/>
          <w:lang w:eastAsia="ru-RU" w:bidi="ar-SA"/>
        </w:rPr>
        <w:t xml:space="preserve">  2021 года</w:t>
      </w:r>
      <w:r w:rsidRPr="006F5B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Pr="006F5B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  <w:t xml:space="preserve">    </w:t>
      </w:r>
      <w:r w:rsidRPr="006F5B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Pr="006F5B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  <w:t xml:space="preserve">                              </w:t>
      </w:r>
      <w:r w:rsidR="00C845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    </w:t>
      </w:r>
      <w:r w:rsidRPr="006F5B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Pr="006F5B8E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 xml:space="preserve">№ </w:t>
      </w:r>
      <w:r w:rsidR="00C84543" w:rsidRPr="00C84543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ru-RU" w:bidi="ar-SA"/>
        </w:rPr>
        <w:t>80</w:t>
      </w:r>
    </w:p>
    <w:p w:rsidR="006F5B8E" w:rsidRPr="006F5B8E" w:rsidRDefault="006F5B8E" w:rsidP="006F5B8E">
      <w:pPr>
        <w:suppressAutoHyphens w:val="0"/>
        <w:autoSpaceDE w:val="0"/>
        <w:autoSpaceDN w:val="0"/>
        <w:adjustRightInd w:val="0"/>
        <w:spacing w:before="108" w:after="108"/>
        <w:textAlignment w:val="auto"/>
        <w:outlineLvl w:val="0"/>
        <w:rPr>
          <w:rFonts w:ascii="Times New Roman CYR" w:eastAsia="Times New Roman" w:hAnsi="Times New Roman CYR" w:cs="Times New Roman CYR"/>
          <w:b/>
          <w:bCs/>
          <w:kern w:val="0"/>
          <w:lang w:eastAsia="ru-RU" w:bidi="ar-SA"/>
        </w:rPr>
      </w:pPr>
      <w:bookmarkStart w:id="0" w:name="_GoBack"/>
      <w:bookmarkEnd w:id="0"/>
    </w:p>
    <w:p w:rsidR="006F5B8E" w:rsidRPr="00C84543" w:rsidRDefault="006F5B8E" w:rsidP="006F5B8E">
      <w:pPr>
        <w:suppressAutoHyphens w:val="0"/>
        <w:autoSpaceDE w:val="0"/>
        <w:autoSpaceDN w:val="0"/>
        <w:adjustRightInd w:val="0"/>
        <w:spacing w:before="108" w:after="108"/>
        <w:jc w:val="cente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 w:bidi="ar-SA"/>
        </w:rPr>
        <w:t>О внесении изменений в Положение</w:t>
      </w:r>
      <w:hyperlink r:id="rId6" w:history="1">
        <w:r w:rsidRPr="00C84543">
          <w:rPr>
            <w:rFonts w:ascii="Times New Roman" w:eastAsia="Calibri" w:hAnsi="Times New Roman" w:cs="Times New Roman"/>
            <w:b/>
            <w:kern w:val="0"/>
            <w:sz w:val="26"/>
            <w:szCs w:val="26"/>
            <w:lang w:eastAsia="ru-RU" w:bidi="ar-SA"/>
          </w:rPr>
          <w:t xml:space="preserve"> о порядке размещения и организации работы нестационарных объектов по оказанию услуг розничной торговли и иных платных услуг населению на территории Горноключевского городского поселения Кировского муниципального района Приморского края</w:t>
        </w:r>
      </w:hyperlink>
      <w:r w:rsidRPr="00C84543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 w:bidi="ar-SA"/>
        </w:rPr>
        <w:t xml:space="preserve">, утвержденного решением Муниципального комитета Горноключевского городского поселения от «31» марта 2021 г. №  46 </w:t>
      </w:r>
    </w:p>
    <w:p w:rsidR="006F5B8E" w:rsidRPr="006F5B8E" w:rsidRDefault="006F5B8E" w:rsidP="006F5B8E">
      <w:pPr>
        <w:jc w:val="right"/>
        <w:rPr>
          <w:rFonts w:ascii="Times New Roman" w:hAnsi="Times New Roman" w:cs="Times New Roman"/>
          <w:b/>
        </w:rPr>
      </w:pPr>
    </w:p>
    <w:p w:rsidR="006F5B8E" w:rsidRPr="006F5B8E" w:rsidRDefault="006F5B8E" w:rsidP="006F5B8E">
      <w:pPr>
        <w:jc w:val="right"/>
        <w:rPr>
          <w:rFonts w:ascii="Times New Roman" w:hAnsi="Times New Roman" w:cs="Times New Roman"/>
          <w:sz w:val="22"/>
          <w:szCs w:val="22"/>
        </w:rPr>
      </w:pPr>
      <w:r w:rsidRPr="006F5B8E">
        <w:rPr>
          <w:rFonts w:ascii="Times New Roman" w:hAnsi="Times New Roman" w:cs="Times New Roman"/>
          <w:sz w:val="22"/>
          <w:szCs w:val="22"/>
        </w:rPr>
        <w:t xml:space="preserve">Принято  решением Муниципального комитета </w:t>
      </w:r>
    </w:p>
    <w:p w:rsidR="006F5B8E" w:rsidRPr="006F5B8E" w:rsidRDefault="006F5B8E" w:rsidP="006F5B8E">
      <w:pPr>
        <w:jc w:val="right"/>
        <w:rPr>
          <w:rFonts w:ascii="Times New Roman" w:hAnsi="Times New Roman" w:cs="Times New Roman"/>
          <w:sz w:val="22"/>
          <w:szCs w:val="22"/>
        </w:rPr>
      </w:pPr>
      <w:r w:rsidRPr="006F5B8E">
        <w:rPr>
          <w:rFonts w:ascii="Times New Roman" w:hAnsi="Times New Roman" w:cs="Times New Roman"/>
          <w:sz w:val="22"/>
          <w:szCs w:val="22"/>
        </w:rPr>
        <w:t xml:space="preserve">Горноключевского городского поселения </w:t>
      </w:r>
    </w:p>
    <w:p w:rsidR="006F5B8E" w:rsidRPr="00C84543" w:rsidRDefault="006F5B8E" w:rsidP="006F5B8E">
      <w:pPr>
        <w:jc w:val="right"/>
        <w:rPr>
          <w:rFonts w:ascii="Times New Roman" w:hAnsi="Times New Roman" w:cs="Times New Roman"/>
          <w:sz w:val="22"/>
          <w:szCs w:val="22"/>
        </w:rPr>
      </w:pPr>
      <w:r w:rsidRPr="006F5B8E">
        <w:rPr>
          <w:rFonts w:ascii="Times New Roman" w:hAnsi="Times New Roman" w:cs="Times New Roman"/>
          <w:sz w:val="22"/>
          <w:szCs w:val="22"/>
        </w:rPr>
        <w:t>от «</w:t>
      </w:r>
      <w:r w:rsidR="007C269F">
        <w:rPr>
          <w:rFonts w:ascii="Times New Roman" w:hAnsi="Times New Roman" w:cs="Times New Roman"/>
          <w:sz w:val="22"/>
          <w:szCs w:val="22"/>
        </w:rPr>
        <w:t>26</w:t>
      </w:r>
      <w:r w:rsidRPr="006F5B8E">
        <w:rPr>
          <w:rFonts w:ascii="Times New Roman" w:hAnsi="Times New Roman" w:cs="Times New Roman"/>
          <w:sz w:val="22"/>
          <w:szCs w:val="22"/>
        </w:rPr>
        <w:t xml:space="preserve">» </w:t>
      </w:r>
      <w:r w:rsidR="007C269F">
        <w:rPr>
          <w:rFonts w:ascii="Times New Roman" w:hAnsi="Times New Roman" w:cs="Times New Roman"/>
          <w:sz w:val="22"/>
          <w:szCs w:val="22"/>
        </w:rPr>
        <w:t>августа</w:t>
      </w:r>
      <w:r w:rsidRPr="006F5B8E">
        <w:rPr>
          <w:rFonts w:ascii="Times New Roman" w:hAnsi="Times New Roman" w:cs="Times New Roman"/>
          <w:sz w:val="22"/>
          <w:szCs w:val="22"/>
        </w:rPr>
        <w:t xml:space="preserve"> 2021 г. № </w:t>
      </w:r>
      <w:r w:rsidR="00C84543" w:rsidRPr="00C84543">
        <w:rPr>
          <w:rFonts w:ascii="Times New Roman" w:hAnsi="Times New Roman" w:cs="Times New Roman"/>
          <w:sz w:val="22"/>
          <w:szCs w:val="22"/>
        </w:rPr>
        <w:t>79</w:t>
      </w:r>
    </w:p>
    <w:p w:rsidR="006F5B8E" w:rsidRDefault="006F5B8E" w:rsidP="006F5B8E">
      <w:pPr>
        <w:pStyle w:val="ConsPlusNormal"/>
        <w:widowControl/>
        <w:tabs>
          <w:tab w:val="left" w:pos="256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58A5" w:rsidRPr="00C84543" w:rsidRDefault="003958A5" w:rsidP="00C84543">
      <w:pPr>
        <w:pStyle w:val="ConsPlusNormal"/>
        <w:widowControl/>
        <w:tabs>
          <w:tab w:val="left" w:pos="2562"/>
        </w:tabs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В  соответствии с 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 законом от 06.10.2003 № 131-ФЗ "Об общих принципах организации местного самоуправления в Российской Федерации", руководствуясь Уставом  Горноключевского городского поселения, принятого </w:t>
      </w:r>
      <w:hyperlink r:id="rId7" w:history="1">
        <w:r w:rsidRPr="00C84543">
          <w:rPr>
            <w:rFonts w:eastAsia="Calibri"/>
            <w:kern w:val="0"/>
            <w:sz w:val="26"/>
            <w:szCs w:val="26"/>
            <w:lang w:eastAsia="ru-RU"/>
          </w:rPr>
          <w:t>решением</w:t>
        </w:r>
      </w:hyperlink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Муниципального комитета Горноключевского городско</w:t>
      </w:r>
      <w:r w:rsidR="00C84543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го поселения от 16.02.2018 № 304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, Муниципальный комитет Горноключевского городского поселения</w:t>
      </w:r>
    </w:p>
    <w:p w:rsidR="006F5B8E" w:rsidRPr="00C84543" w:rsidRDefault="00C84543" w:rsidP="00C84543">
      <w:pPr>
        <w:pStyle w:val="ConsPlusNormal"/>
        <w:widowControl/>
        <w:tabs>
          <w:tab w:val="left" w:pos="2562"/>
        </w:tabs>
        <w:ind w:left="720" w:firstLine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</w:pPr>
      <w:r w:rsidRPr="00C84543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РЕШИЛ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:</w:t>
      </w:r>
    </w:p>
    <w:p w:rsidR="00182770" w:rsidRPr="00C84543" w:rsidRDefault="00D9516A" w:rsidP="00C84543">
      <w:pPr>
        <w:pStyle w:val="ConsPlusNormal"/>
        <w:widowControl/>
        <w:tabs>
          <w:tab w:val="left" w:pos="2562"/>
        </w:tabs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1. </w:t>
      </w:r>
      <w:r w:rsidR="003A70BA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В ч</w:t>
      </w:r>
      <w:r w:rsidR="00AB1032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аст</w:t>
      </w:r>
      <w:r w:rsidR="003A70BA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и</w:t>
      </w:r>
      <w:r w:rsidR="00AB1032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2 Пункт</w:t>
      </w:r>
      <w:r w:rsidR="003A70BA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а</w:t>
      </w:r>
      <w:r w:rsidR="00AB1032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12</w:t>
      </w:r>
      <w:r w:rsidR="003A70BA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части 2 Положения</w:t>
      </w:r>
      <w:r w:rsidR="00AB1032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</w:t>
      </w:r>
      <w:r w:rsidR="003A70BA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после слов: «на срок не более» «3» заменить на «30».</w:t>
      </w:r>
    </w:p>
    <w:p w:rsidR="005B1297" w:rsidRPr="00C84543" w:rsidRDefault="006F5B8E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2. </w:t>
      </w:r>
      <w:r w:rsidR="005B1297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Пункт 4.3.3 части 4 Положения изложить в следующей редакции:</w:t>
      </w:r>
    </w:p>
    <w:p w:rsidR="00B013D5" w:rsidRPr="00C84543" w:rsidRDefault="006F5B8E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«</w:t>
      </w:r>
      <w:r w:rsidR="005B1297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4.3.3. </w:t>
      </w:r>
      <w:r w:rsidR="00B013D5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случаях: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1) в случае наличия у заявителя действующего Договора на размещение НТО при одновременном соблюдении следующих условий: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- 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</w:t>
      </w:r>
      <w:r w:rsidR="0002309D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Горноключевского 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городского </w:t>
      </w:r>
      <w:r w:rsidR="0002309D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поселения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(далее – Схема);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- заявитель обратился в администрацию </w:t>
      </w:r>
      <w:r w:rsidR="0002309D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Горноключевского городского поселения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для заключения Договора на размещение НТО на новый срок с соблюдением срока, 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lastRenderedPageBreak/>
        <w:t xml:space="preserve">установленного Порядком размещения нестационарных торговых объектов на территории </w:t>
      </w:r>
      <w:r w:rsidR="005B1297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Горноключевского городского поселения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;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 нестационарный торговый объект установлен на таком месте;</w:t>
      </w:r>
    </w:p>
    <w:p w:rsidR="00B013D5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 место, на котором размещен нестационарный торговый объект, принадлежащий заявителю, включено в Схему;</w:t>
      </w:r>
    </w:p>
    <w:p w:rsidR="005B1297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 заявление подано с соблюдением срока, установленного Порядком.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3) наличие решения Комиссии о реконструкции и/или изменение типа объекта, восстановление объекта, разрушенного последствием непреодолимой силы (пожар, наводнение и т.д.).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4) предоставление компенсационного места для размещения нестационарного торгового объекта;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5) размещение сезонных НТО; 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6) размещение НТО в имущественном комплексе. При этом в Схему включается хозяйствующий субъект, победитель аукциона на право заключения договора аренды;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7) размещение нестационарных объектов, имеющих краткосрочный характер размещения;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8) предоставление временного места под размещение существующего нестационарного торгового объекта на период строительства вместо него нового объекта;</w:t>
      </w:r>
    </w:p>
    <w:p w:rsidR="005B1297" w:rsidRPr="00C84543" w:rsidRDefault="005B1297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9) предоставление места для осуществления деятельности крестьянского фермерского хозяйства, предпринимателя, юридического или физического лица, реализующего сельскохозяйственную продукцию и продукцию личного подсобного хозяйства, и организации потребительской кооперации.</w:t>
      </w:r>
    </w:p>
    <w:p w:rsidR="007C269F" w:rsidRPr="00C84543" w:rsidRDefault="00B013D5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</w:t>
      </w:r>
      <w:proofErr w:type="gramStart"/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.</w:t>
      </w:r>
      <w:r w:rsidR="006F5B8E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»</w:t>
      </w:r>
      <w:proofErr w:type="gramEnd"/>
    </w:p>
    <w:p w:rsidR="007C269F" w:rsidRPr="00C84543" w:rsidRDefault="007C269F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3. Дополнить часть 4 Положения пунктом 4.3.4. следующего содержания:</w:t>
      </w:r>
    </w:p>
    <w:p w:rsidR="00FD5738" w:rsidRPr="00C84543" w:rsidRDefault="007C269F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«4.3.4. Договор аренды земельного участка, заключенный с собственником нестационарного торгового объекта, включенный в схему нестационарных торговых объектов, заключенный до утверждения схемы нестационарных торговых объектов Горноключевского городского поселения, утвержденную постановлением администрации Горноключевского городского поселения от 02.12.2015г. №263</w:t>
      </w:r>
      <w:r w:rsidR="00FD5738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, продлевается  на срок до 5(пяти) лет при одновременном соблюдении следующих условий:</w:t>
      </w:r>
    </w:p>
    <w:p w:rsidR="00FD5738" w:rsidRPr="00C84543" w:rsidRDefault="00FD5738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FD5738" w:rsidRPr="00C84543" w:rsidRDefault="00FD5738" w:rsidP="00C8454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- 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Горноключевского городского поселения (далее – Схема)»</w:t>
      </w:r>
      <w:r w:rsid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.</w:t>
      </w:r>
    </w:p>
    <w:p w:rsidR="00FD5738" w:rsidRPr="00C84543" w:rsidRDefault="00FD5738" w:rsidP="00C84543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</w:p>
    <w:p w:rsidR="00FD5738" w:rsidRDefault="00FD5738" w:rsidP="00FD573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kern w:val="0"/>
          <w:bdr w:val="none" w:sz="0" w:space="0" w:color="auto" w:frame="1"/>
          <w:lang w:eastAsia="ru-RU" w:bidi="ar-SA"/>
        </w:rPr>
      </w:pPr>
    </w:p>
    <w:p w:rsidR="00B013D5" w:rsidRPr="00C84543" w:rsidRDefault="00FD5738" w:rsidP="00C84543">
      <w:pPr>
        <w:widowControl/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</w:pP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Глава Горноключевского городского поселения    </w:t>
      </w:r>
      <w:r w:rsid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 </w:t>
      </w:r>
      <w:r w:rsidR="00C84543"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C84543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>В.У. Хасанов</w:t>
      </w:r>
    </w:p>
    <w:sectPr w:rsidR="00B013D5" w:rsidRPr="00C84543" w:rsidSect="00C845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E5"/>
    <w:multiLevelType w:val="hybridMultilevel"/>
    <w:tmpl w:val="15083D3C"/>
    <w:lvl w:ilvl="0" w:tplc="E598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6115F"/>
    <w:multiLevelType w:val="hybridMultilevel"/>
    <w:tmpl w:val="C068CC48"/>
    <w:lvl w:ilvl="0" w:tplc="EDB2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2"/>
    <w:rsid w:val="0002309D"/>
    <w:rsid w:val="000C3447"/>
    <w:rsid w:val="00182770"/>
    <w:rsid w:val="001B338C"/>
    <w:rsid w:val="002E37D5"/>
    <w:rsid w:val="003958A5"/>
    <w:rsid w:val="003A70BA"/>
    <w:rsid w:val="0042054C"/>
    <w:rsid w:val="005B1297"/>
    <w:rsid w:val="006F5B8E"/>
    <w:rsid w:val="007C269F"/>
    <w:rsid w:val="00AB1032"/>
    <w:rsid w:val="00B013D5"/>
    <w:rsid w:val="00C84543"/>
    <w:rsid w:val="00D9516A"/>
    <w:rsid w:val="00E33784"/>
    <w:rsid w:val="00F63C3C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10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AB1032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395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10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AB1032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39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2754092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31122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Пользователь Windows</cp:lastModifiedBy>
  <cp:revision>2</cp:revision>
  <cp:lastPrinted>2021-08-30T00:20:00Z</cp:lastPrinted>
  <dcterms:created xsi:type="dcterms:W3CDTF">2021-08-30T00:28:00Z</dcterms:created>
  <dcterms:modified xsi:type="dcterms:W3CDTF">2021-08-30T00:28:00Z</dcterms:modified>
</cp:coreProperties>
</file>