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265D43" w:rsidRP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</w:t>
            </w:r>
            <w:r w:rsidR="00283935">
              <w:rPr>
                <w:b/>
                <w:color w:val="auto"/>
                <w:sz w:val="26"/>
                <w:szCs w:val="26"/>
              </w:rPr>
              <w:t xml:space="preserve">    </w:t>
            </w:r>
            <w:bookmarkStart w:id="0" w:name="_GoBack"/>
            <w:r w:rsidRPr="00265D43">
              <w:rPr>
                <w:b/>
                <w:sz w:val="28"/>
                <w:szCs w:val="28"/>
              </w:rPr>
              <w:t>Применение ККТ при продаже табачных изделий</w:t>
            </w:r>
          </w:p>
          <w:bookmarkEnd w:id="0"/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С 1 июля 2019 года </w:t>
            </w:r>
            <w:proofErr w:type="gramStart"/>
            <w:r w:rsidRPr="00265D43">
              <w:rPr>
                <w:szCs w:val="24"/>
              </w:rPr>
              <w:t>все организации, занимающиеся реализацией табачной продукции обязаны</w:t>
            </w:r>
            <w:proofErr w:type="gramEnd"/>
            <w:r w:rsidRPr="00265D43">
              <w:rPr>
                <w:szCs w:val="24"/>
              </w:rPr>
              <w:t xml:space="preserve"> использовать онлайн-кассы. С этой же даты прекращен оборот немаркированной табачной продукции, в </w:t>
            </w:r>
            <w:proofErr w:type="gramStart"/>
            <w:r w:rsidRPr="00265D43">
              <w:rPr>
                <w:szCs w:val="24"/>
              </w:rPr>
              <w:t>связи</w:t>
            </w:r>
            <w:proofErr w:type="gramEnd"/>
            <w:r w:rsidRPr="00265D43">
              <w:rPr>
                <w:szCs w:val="24"/>
              </w:rPr>
              <w:t xml:space="preserve"> с чем с 1 марта 2019 года производители и продавцы табачных изделий должны были пройти регистрацию в системе цифровой маркировки «Честный знак».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Программа по введению цифровой маркировки и переход на он-</w:t>
            </w:r>
            <w:proofErr w:type="spellStart"/>
            <w:r w:rsidRPr="00265D43">
              <w:rPr>
                <w:szCs w:val="24"/>
              </w:rPr>
              <w:t>лайн</w:t>
            </w:r>
            <w:proofErr w:type="spellEnd"/>
            <w:r w:rsidRPr="00265D43">
              <w:rPr>
                <w:szCs w:val="24"/>
              </w:rPr>
              <w:t xml:space="preserve"> кассы нацелена на защиту легального бизнеса и на защиту интересов потребителей.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С начала 2021 года он-</w:t>
            </w:r>
            <w:proofErr w:type="spellStart"/>
            <w:r w:rsidRPr="00265D43">
              <w:rPr>
                <w:szCs w:val="24"/>
              </w:rPr>
              <w:t>лайн</w:t>
            </w:r>
            <w:proofErr w:type="spellEnd"/>
            <w:r w:rsidRPr="00265D43">
              <w:rPr>
                <w:szCs w:val="24"/>
              </w:rPr>
              <w:t xml:space="preserve"> кассами зафиксирован рост продаж контрафактной табачной продукции, немаркированной специальными (акцизными) марками. Так, например, наблюдается прирост продаж продавцами республики табачных изделий из Республики Беларусь: NZ, </w:t>
            </w:r>
            <w:proofErr w:type="spellStart"/>
            <w:r w:rsidRPr="00265D43">
              <w:rPr>
                <w:szCs w:val="24"/>
              </w:rPr>
              <w:t>Credo</w:t>
            </w:r>
            <w:proofErr w:type="spellEnd"/>
            <w:r w:rsidRPr="00265D43">
              <w:rPr>
                <w:szCs w:val="24"/>
              </w:rPr>
              <w:t xml:space="preserve">, </w:t>
            </w:r>
            <w:proofErr w:type="spellStart"/>
            <w:r w:rsidRPr="00265D43">
              <w:rPr>
                <w:szCs w:val="24"/>
              </w:rPr>
              <w:t>Minsk</w:t>
            </w:r>
            <w:proofErr w:type="spellEnd"/>
            <w:r w:rsidRPr="00265D43">
              <w:rPr>
                <w:szCs w:val="24"/>
              </w:rPr>
              <w:t>, Корона, при том, что по данным таможни указанная табачная продукция официально в Российскую Федерацию не ввозилась.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За продажу немаркированной табачной продукции предусмотрена административная и уголовная ответственность.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За продажу </w:t>
            </w:r>
            <w:proofErr w:type="spellStart"/>
            <w:r w:rsidRPr="00265D43">
              <w:rPr>
                <w:szCs w:val="24"/>
              </w:rPr>
              <w:t>безакцизной</w:t>
            </w:r>
            <w:proofErr w:type="spellEnd"/>
            <w:r w:rsidRPr="00265D43">
              <w:rPr>
                <w:szCs w:val="24"/>
              </w:rPr>
              <w:t xml:space="preserve"> табачной продукции (</w:t>
            </w:r>
            <w:hyperlink r:id="rId7" w:tgtFrame="_blank" w:history="1">
              <w:r w:rsidRPr="00265D43">
                <w:rPr>
                  <w:color w:val="228007"/>
                  <w:szCs w:val="24"/>
                  <w:u w:val="single"/>
                </w:rPr>
                <w:t>ч.2</w:t>
              </w:r>
            </w:hyperlink>
            <w:r w:rsidRPr="00265D43">
              <w:rPr>
                <w:szCs w:val="24"/>
              </w:rPr>
              <w:t> ст. 15.12 КоАП РФ):</w:t>
            </w:r>
          </w:p>
          <w:p w:rsidR="00265D43" w:rsidRPr="00265D43" w:rsidRDefault="00265D43" w:rsidP="00265D43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к гражданам, совершившим продажу – штраф от 2 до 4 тыс. руб. с изъятием предметов правонарушения.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штраф от 5 до 10 тыс. руб. с конфискацией товара (применяется к должностным лицам).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штраф в объеме от 50 до 300 тыс. руб. с изъятием продукции (применяется к юридическим лицам).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За оборот сигарет без акциза предусмотрены санкции (</w:t>
            </w:r>
            <w:hyperlink r:id="rId8" w:tgtFrame="_blank" w:history="1">
              <w:r w:rsidRPr="00265D43">
                <w:rPr>
                  <w:color w:val="228007"/>
                  <w:szCs w:val="24"/>
                  <w:u w:val="single"/>
                </w:rPr>
                <w:t>ч.4</w:t>
              </w:r>
            </w:hyperlink>
            <w:r w:rsidRPr="00265D43">
              <w:rPr>
                <w:szCs w:val="24"/>
              </w:rPr>
              <w:t> ст. 15.12 КоАП РФ):</w:t>
            </w:r>
          </w:p>
          <w:p w:rsidR="00265D43" w:rsidRPr="00265D43" w:rsidRDefault="00265D43" w:rsidP="00265D4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к гражданам – штраф от 4 до 5 тыс.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к должностным лицам – штраф от 10 до 15 тыс.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к юридическим лицам – штраф от 200 до 300 тыс.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3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за продажу и оборот сигарет без акциза предусматриваются не только штрафные санкции, но и полное изъятие контрабандного товара.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В соответствии со ст. </w:t>
            </w:r>
            <w:hyperlink r:id="rId9" w:anchor="h7722" w:tgtFrame="_blank" w:history="1">
              <w:r w:rsidRPr="00265D43">
                <w:rPr>
                  <w:color w:val="228007"/>
                  <w:szCs w:val="24"/>
                  <w:u w:val="single"/>
                </w:rPr>
                <w:t>171.1</w:t>
              </w:r>
            </w:hyperlink>
            <w:r w:rsidRPr="00265D43">
              <w:rPr>
                <w:szCs w:val="24"/>
              </w:rPr>
              <w:t> УК РФ запрещен сбыт немаркированной табачной продукции, подлежащей обязательному акцизу. Законодательством предусмотрены следующие наказания за торговлю сигаретами без акциза в крупном и в особо крупном размере или группой лиц:</w:t>
            </w:r>
          </w:p>
          <w:p w:rsidR="00265D43" w:rsidRPr="00265D43" w:rsidRDefault="00265D43" w:rsidP="00265D4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штраф в размере от 400 до 800 тысяч рублей.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принудительные работы (на период до 5 лет).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штраф в размере дохода (заработной платы) гражданина за последние 1-3 года.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4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штраф в размере 1 </w:t>
            </w:r>
            <w:proofErr w:type="gramStart"/>
            <w:r w:rsidRPr="00265D43">
              <w:rPr>
                <w:szCs w:val="24"/>
              </w:rPr>
              <w:t>млн</w:t>
            </w:r>
            <w:proofErr w:type="gramEnd"/>
            <w:r w:rsidRPr="00265D43">
              <w:rPr>
                <w:szCs w:val="24"/>
              </w:rPr>
              <w:t xml:space="preserve"> руб. (в размере дохода предпринимателя за 5 лет) и лишение свободы до 6 лет.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 Налоговый орган в рамках межведомственного взаимодействия направляет такие данные в уполномоченные органы за осуществлением контроля в сфере продажи табака, для принятия правового решения.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 Напомним, что при продаже табака также действуют определенные правила.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lastRenderedPageBreak/>
              <w:t>Продажа сигарет запрещена: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вне магазинов и павильонов;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ближе, чем в ста метрах от территории школ и детских садов;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 домах культуры и дворцах молодежи, в спортивных залах и на стадионах;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 больницах, поликлиниках, санаториях;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 городском и пригородном транспорте, на вокзалах, в аэропортах, морских и речных портах, на станциях метро;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 гостиницах и хостелах;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в зданиях органов государственной власти.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Запрещено продавать сигареты со скидками и рекламой, поштучно, в упаковке с другим товаром, без нанесения маркировки и акцизных (специальных) марок, на открытой витрине, несовершеннолетним.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Витрина с табачными изделиями должна быть закрыта. Перечень с указанием наименования товара и цен должен быть оформлен на белом листе, черными буквами одинакового размера. Сортировка товарного запаса осуществляется в алфавитном порядке.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В перечень нельзя добавлять изображения товарных знаков или фотографии сигаретных пачек (</w:t>
            </w:r>
            <w:hyperlink r:id="rId10" w:tgtFrame="_blank" w:history="1">
              <w:r w:rsidRPr="00265D43">
                <w:rPr>
                  <w:color w:val="228007"/>
                  <w:szCs w:val="24"/>
                  <w:u w:val="single"/>
                </w:rPr>
                <w:t>п. 5</w:t>
              </w:r>
            </w:hyperlink>
            <w:r w:rsidRPr="00265D43">
              <w:rPr>
                <w:szCs w:val="24"/>
              </w:rPr>
              <w:t xml:space="preserve"> ст. 19 Федерального закона от 23.02.2013 № 15-ФЗ «Об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 w:rsidRPr="00265D43">
              <w:rPr>
                <w:szCs w:val="24"/>
              </w:rPr>
              <w:t>никотинсодержащей</w:t>
            </w:r>
            <w:proofErr w:type="spellEnd"/>
            <w:r w:rsidRPr="00265D43">
              <w:rPr>
                <w:szCs w:val="24"/>
              </w:rPr>
              <w:t xml:space="preserve"> продукции»).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За нарушение законодательства при продаже табачных изделий предусмотрены административные штрафы (</w:t>
            </w:r>
            <w:hyperlink r:id="rId11" w:tgtFrame="_blank" w:history="1">
              <w:r w:rsidRPr="00265D43">
                <w:rPr>
                  <w:color w:val="228007"/>
                  <w:szCs w:val="24"/>
                  <w:u w:val="single"/>
                </w:rPr>
                <w:t>ст. 14</w:t>
              </w:r>
            </w:hyperlink>
            <w:r w:rsidRPr="00265D43">
              <w:rPr>
                <w:szCs w:val="24"/>
              </w:rPr>
              <w:t> КоАП РФ):</w:t>
            </w:r>
          </w:p>
          <w:p w:rsidR="00265D43" w:rsidRPr="00265D43" w:rsidRDefault="00265D43" w:rsidP="00265D43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за стимулирование продажи табака – от 5 до 150 </w:t>
            </w:r>
            <w:proofErr w:type="spellStart"/>
            <w:proofErr w:type="gramStart"/>
            <w:r w:rsidRPr="00265D43">
              <w:rPr>
                <w:szCs w:val="24"/>
              </w:rPr>
              <w:t>тыс</w:t>
            </w:r>
            <w:proofErr w:type="spellEnd"/>
            <w:proofErr w:type="gramEnd"/>
            <w:r w:rsidRPr="00265D43">
              <w:rPr>
                <w:szCs w:val="24"/>
              </w:rPr>
              <w:t xml:space="preserve">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за не правильное оформление перечня сигарет, продажа сигарет в запрещенных местах – от 5 до 50 </w:t>
            </w:r>
            <w:proofErr w:type="spellStart"/>
            <w:proofErr w:type="gramStart"/>
            <w:r w:rsidRPr="00265D43">
              <w:rPr>
                <w:szCs w:val="24"/>
              </w:rPr>
              <w:t>тыс</w:t>
            </w:r>
            <w:proofErr w:type="spellEnd"/>
            <w:proofErr w:type="gramEnd"/>
            <w:r w:rsidRPr="00265D43">
              <w:rPr>
                <w:szCs w:val="24"/>
              </w:rPr>
              <w:t xml:space="preserve">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за продажу сигарет несовершеннолетнему – от 30 до 150 </w:t>
            </w:r>
            <w:proofErr w:type="spellStart"/>
            <w:proofErr w:type="gramStart"/>
            <w:r w:rsidRPr="00265D43">
              <w:rPr>
                <w:szCs w:val="24"/>
              </w:rPr>
              <w:t>тыс</w:t>
            </w:r>
            <w:proofErr w:type="spellEnd"/>
            <w:proofErr w:type="gramEnd"/>
            <w:r w:rsidRPr="00265D43">
              <w:rPr>
                <w:szCs w:val="24"/>
              </w:rPr>
              <w:t xml:space="preserve"> руб.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> </w:t>
            </w:r>
          </w:p>
          <w:p w:rsidR="00265D43" w:rsidRPr="00265D43" w:rsidRDefault="00265D43" w:rsidP="00265D43">
            <w:pPr>
              <w:numPr>
                <w:ilvl w:val="0"/>
                <w:numId w:val="6"/>
              </w:num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за продажу сигарет по цене дороже, чем указана на пачке – от 50 </w:t>
            </w:r>
            <w:proofErr w:type="spellStart"/>
            <w:proofErr w:type="gramStart"/>
            <w:r w:rsidRPr="00265D43">
              <w:rPr>
                <w:szCs w:val="24"/>
              </w:rPr>
              <w:t>тыс</w:t>
            </w:r>
            <w:proofErr w:type="spellEnd"/>
            <w:proofErr w:type="gramEnd"/>
            <w:r w:rsidRPr="00265D43">
              <w:rPr>
                <w:szCs w:val="24"/>
              </w:rPr>
              <w:t xml:space="preserve"> </w:t>
            </w:r>
            <w:proofErr w:type="spellStart"/>
            <w:r w:rsidRPr="00265D43">
              <w:rPr>
                <w:szCs w:val="24"/>
              </w:rPr>
              <w:t>руб</w:t>
            </w:r>
            <w:proofErr w:type="spellEnd"/>
            <w:r w:rsidRPr="00265D43">
              <w:rPr>
                <w:szCs w:val="24"/>
              </w:rPr>
              <w:t>, в том числе до трех лет дисквалификации.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Программа по введению цифровой маркировки и он-</w:t>
            </w:r>
            <w:proofErr w:type="spellStart"/>
            <w:r w:rsidRPr="00265D43">
              <w:rPr>
                <w:szCs w:val="24"/>
              </w:rPr>
              <w:t>лайн</w:t>
            </w:r>
            <w:proofErr w:type="spellEnd"/>
            <w:r w:rsidRPr="00265D43">
              <w:rPr>
                <w:szCs w:val="24"/>
              </w:rPr>
              <w:t xml:space="preserve"> касс эффективно борется с реализацией контрафактной продукции и контрабандой, защищает легальный бизнес и бренды добросовестного производителя и продавца табачной продукции, стоит на страже прав и законных интересов конечных потребителей.</w:t>
            </w:r>
          </w:p>
          <w:p w:rsidR="00265D43" w:rsidRPr="00265D43" w:rsidRDefault="00265D43" w:rsidP="00265D43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265D43">
              <w:rPr>
                <w:szCs w:val="24"/>
              </w:rPr>
              <w:t xml:space="preserve">       Уважаемые предприниматели, в случае самостоятельного установления организации продаж табачной продукции вышеуказанными марками, по незнанию, что данная продукция </w:t>
            </w:r>
            <w:proofErr w:type="gramStart"/>
            <w:r w:rsidRPr="00265D43">
              <w:rPr>
                <w:szCs w:val="24"/>
              </w:rPr>
              <w:t>находится в незаконном обороте предлагаем</w:t>
            </w:r>
            <w:proofErr w:type="gramEnd"/>
            <w:r w:rsidRPr="00265D43">
              <w:rPr>
                <w:szCs w:val="24"/>
              </w:rPr>
              <w:t xml:space="preserve"> добровольно отказаться от ее распространения.</w:t>
            </w:r>
          </w:p>
          <w:p w:rsidR="00265D43" w:rsidRPr="00265D43" w:rsidRDefault="00265D43" w:rsidP="00265D43">
            <w:pPr>
              <w:tabs>
                <w:tab w:val="left" w:pos="993"/>
              </w:tabs>
              <w:jc w:val="both"/>
              <w:rPr>
                <w:color w:val="auto"/>
                <w:sz w:val="28"/>
                <w:szCs w:val="28"/>
              </w:rPr>
            </w:pPr>
          </w:p>
          <w:p w:rsidR="00955034" w:rsidRDefault="00955034" w:rsidP="000878C8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D43"/>
    <w:rsid w:val="00274A1B"/>
    <w:rsid w:val="00283935"/>
    <w:rsid w:val="00341690"/>
    <w:rsid w:val="003C782E"/>
    <w:rsid w:val="00704F93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2355&amp;rangeId=29596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02355&amp;rangeId=29596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4023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368022&amp;rangeId=2959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93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2021-10-26T07:06:00Z</dcterms:created>
  <dcterms:modified xsi:type="dcterms:W3CDTF">2021-10-26T07:06:00Z</dcterms:modified>
</cp:coreProperties>
</file>